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9F504" w14:textId="77777777" w:rsidR="007502DE" w:rsidRPr="007502DE" w:rsidRDefault="007502DE" w:rsidP="007502DE">
      <w:pPr>
        <w:rPr>
          <w:sz w:val="26"/>
          <w:szCs w:val="26"/>
        </w:rPr>
      </w:pPr>
      <w:r w:rsidRPr="007502DE">
        <w:rPr>
          <w:b/>
          <w:bCs/>
          <w:sz w:val="26"/>
          <w:szCs w:val="26"/>
        </w:rPr>
        <w:t>Summary of traffic violations with increased penalties from 2025</w:t>
      </w:r>
    </w:p>
    <w:p w14:paraId="5AF9660E" w14:textId="77777777" w:rsidR="007502DE" w:rsidRPr="007502DE" w:rsidRDefault="007502DE" w:rsidP="007502DE">
      <w:pPr>
        <w:rPr>
          <w:sz w:val="26"/>
          <w:szCs w:val="26"/>
        </w:rPr>
      </w:pPr>
      <w:r w:rsidRPr="007502DE">
        <w:rPr>
          <w:sz w:val="26"/>
          <w:szCs w:val="26"/>
        </w:rPr>
        <w:t>Since January 1, 2025, when </w:t>
      </w:r>
      <w:hyperlink r:id="rId4" w:tgtFrame="_blank" w:history="1">
        <w:r w:rsidRPr="007502DE">
          <w:rPr>
            <w:rStyle w:val="Hyperlink"/>
            <w:sz w:val="26"/>
            <w:szCs w:val="26"/>
          </w:rPr>
          <w:t>Decree 168/2024/ND-CP</w:t>
        </w:r>
      </w:hyperlink>
      <w:r w:rsidRPr="007502DE">
        <w:rPr>
          <w:sz w:val="26"/>
          <w:szCs w:val="26"/>
        </w:rPr>
        <w:t> officially takes effect, many traffic violations will have their penalties increased from several times to even dozens of times.</w:t>
      </w:r>
    </w:p>
    <w:p w14:paraId="2CCD0B7E" w14:textId="77777777" w:rsidR="007502DE" w:rsidRPr="007502DE" w:rsidRDefault="007502DE" w:rsidP="007502DE">
      <w:pPr>
        <w:rPr>
          <w:sz w:val="26"/>
          <w:szCs w:val="26"/>
        </w:rPr>
      </w:pPr>
      <w:r w:rsidRPr="007502DE">
        <w:rPr>
          <w:sz w:val="26"/>
          <w:szCs w:val="26"/>
        </w:rPr>
        <w:t>Below is a summary of traffic violations that will have their penalties increased many times from 2025:</w:t>
      </w:r>
    </w:p>
    <w:p w14:paraId="4AA80C98" w14:textId="6FBE1EEE" w:rsidR="00361C78" w:rsidRPr="007502DE" w:rsidRDefault="007502DE" w:rsidP="007502DE">
      <w:pPr>
        <w:rPr>
          <w:b/>
          <w:bCs/>
          <w:sz w:val="26"/>
          <w:szCs w:val="26"/>
        </w:rPr>
      </w:pPr>
      <w:r w:rsidRPr="007502DE">
        <w:rPr>
          <w:sz w:val="26"/>
          <w:szCs w:val="26"/>
          <w:highlight w:val="yellow"/>
        </w:rPr>
        <w:t>* </w:t>
      </w:r>
      <w:r w:rsidRPr="007502DE">
        <w:rPr>
          <w:b/>
          <w:bCs/>
          <w:sz w:val="26"/>
          <w:szCs w:val="26"/>
          <w:highlight w:val="yellow"/>
        </w:rPr>
        <w:t>Penalty for cars</w:t>
      </w:r>
    </w:p>
    <w:tbl>
      <w:tblPr>
        <w:tblW w:w="1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5558"/>
        <w:gridCol w:w="2700"/>
        <w:gridCol w:w="2520"/>
      </w:tblGrid>
      <w:tr w:rsidR="007502DE" w:rsidRPr="007502DE" w14:paraId="0514ECE5" w14:textId="77777777" w:rsidTr="007502DE">
        <w:trPr>
          <w:trHeight w:val="345"/>
        </w:trPr>
        <w:tc>
          <w:tcPr>
            <w:tcW w:w="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66E934E" w14:textId="77777777" w:rsidR="007502DE" w:rsidRPr="007502DE" w:rsidRDefault="007502DE" w:rsidP="007502DE">
            <w:r w:rsidRPr="007502DE">
              <w:rPr>
                <w:b/>
                <w:bCs/>
              </w:rPr>
              <w:t>STT</w:t>
            </w:r>
          </w:p>
        </w:tc>
        <w:tc>
          <w:tcPr>
            <w:tcW w:w="5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B15E69C" w14:textId="77777777" w:rsidR="007502DE" w:rsidRPr="007502DE" w:rsidRDefault="007502DE" w:rsidP="007502DE">
            <w:r w:rsidRPr="007502DE">
              <w:t> </w:t>
            </w:r>
          </w:p>
          <w:p w14:paraId="223CCF42" w14:textId="77777777" w:rsidR="007502DE" w:rsidRPr="007502DE" w:rsidRDefault="007502DE" w:rsidP="007502DE">
            <w:pPr>
              <w:jc w:val="center"/>
            </w:pPr>
            <w:r w:rsidRPr="007502DE">
              <w:rPr>
                <w:b/>
                <w:bCs/>
              </w:rPr>
              <w:t>Violation error</w:t>
            </w:r>
          </w:p>
        </w:tc>
        <w:tc>
          <w:tcPr>
            <w:tcW w:w="5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11E7CFA0" w14:textId="77777777" w:rsidR="007502DE" w:rsidRPr="007502DE" w:rsidRDefault="007502DE" w:rsidP="007502DE">
            <w:pPr>
              <w:jc w:val="center"/>
            </w:pPr>
            <w:r w:rsidRPr="007502DE">
              <w:rPr>
                <w:b/>
                <w:bCs/>
              </w:rPr>
              <w:t>Fine level</w:t>
            </w:r>
          </w:p>
        </w:tc>
      </w:tr>
      <w:tr w:rsidR="007502DE" w:rsidRPr="007502DE" w14:paraId="4300E76D" w14:textId="77777777" w:rsidTr="007502DE">
        <w:trPr>
          <w:trHeight w:val="22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0B069" w14:textId="77777777" w:rsidR="007502DE" w:rsidRPr="007502DE" w:rsidRDefault="007502DE" w:rsidP="007502DE"/>
        </w:tc>
        <w:tc>
          <w:tcPr>
            <w:tcW w:w="55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C6DDB" w14:textId="77777777" w:rsidR="007502DE" w:rsidRPr="007502DE" w:rsidRDefault="007502DE" w:rsidP="007502DE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32DF4FDD" w14:textId="77777777" w:rsidR="007502DE" w:rsidRPr="007502DE" w:rsidRDefault="007502DE" w:rsidP="007502DE">
            <w:r w:rsidRPr="007502DE">
              <w:rPr>
                <w:b/>
                <w:bCs/>
              </w:rPr>
              <w:t>Decree 100/2019/ND-CP and</w:t>
            </w:r>
          </w:p>
          <w:p w14:paraId="3C079AF1" w14:textId="77777777" w:rsidR="007502DE" w:rsidRPr="007502DE" w:rsidRDefault="007502DE" w:rsidP="007502DE">
            <w:r w:rsidRPr="007502DE">
              <w:rPr>
                <w:b/>
                <w:bCs/>
              </w:rPr>
              <w:t>Decree 123/2021/ND-CP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0ACFD83C" w14:textId="77777777" w:rsidR="007502DE" w:rsidRPr="007502DE" w:rsidRDefault="007502DE" w:rsidP="007502DE">
            <w:r w:rsidRPr="007502DE">
              <w:rPr>
                <w:b/>
                <w:bCs/>
              </w:rPr>
              <w:t>Decree 168/2024/ND-CP</w:t>
            </w:r>
          </w:p>
          <w:p w14:paraId="62A7309D" w14:textId="77777777" w:rsidR="007502DE" w:rsidRPr="007502DE" w:rsidRDefault="007502DE" w:rsidP="007502DE">
            <w:r w:rsidRPr="007502DE">
              <w:rPr>
                <w:b/>
                <w:bCs/>
              </w:rPr>
              <w:t>(Applicable from 2025)</w:t>
            </w:r>
          </w:p>
        </w:tc>
      </w:tr>
      <w:tr w:rsidR="007502DE" w:rsidRPr="007502DE" w14:paraId="4FEA635F" w14:textId="77777777" w:rsidTr="007502DE">
        <w:trPr>
          <w:trHeight w:val="11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A9CA1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7AF3E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Failure to obey traffic light signals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6A4AC6CC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04 - 06 million VND           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51B961D1" w14:textId="77777777" w:rsidR="007502DE" w:rsidRPr="007502DE" w:rsidRDefault="007502DE" w:rsidP="007502DE">
            <w:r w:rsidRPr="007502DE">
              <w:t>18 - 20 million VND</w:t>
            </w:r>
          </w:p>
        </w:tc>
      </w:tr>
      <w:tr w:rsidR="007502DE" w:rsidRPr="007502DE" w14:paraId="090A7B17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3022F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7BAA4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Going against the flow of a one-way street, going against the flow of a road with a “No Entry” sign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23AFD8E8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04 - 06 million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2C210005" w14:textId="77777777" w:rsidR="007502DE" w:rsidRPr="007502DE" w:rsidRDefault="007502DE" w:rsidP="007502DE">
            <w:r w:rsidRPr="007502DE">
              <w:t>18 - 20 million VND</w:t>
            </w:r>
          </w:p>
        </w:tc>
      </w:tr>
      <w:tr w:rsidR="007502DE" w:rsidRPr="007502DE" w14:paraId="277D04BB" w14:textId="77777777" w:rsidTr="007502DE">
        <w:trPr>
          <w:trHeight w:val="168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0C877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77663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Not slowing down (or stopping) and giving way when driving from an alley or side road onto a main road; Not giving way to vehicles on the priority road or main road coming from any direction at an intersection.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0F45A93B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800,000 VND – 1 million VND</w:t>
            </w:r>
          </w:p>
          <w:p w14:paraId="7E79FA3F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28823D79" w14:textId="77777777" w:rsidR="007502DE" w:rsidRPr="007502DE" w:rsidRDefault="007502DE" w:rsidP="007502DE">
            <w:r w:rsidRPr="007502DE">
              <w:t>04 - 06 million VND</w:t>
            </w:r>
          </w:p>
        </w:tc>
      </w:tr>
      <w:tr w:rsidR="007502DE" w:rsidRPr="007502DE" w14:paraId="1A5F7235" w14:textId="77777777" w:rsidTr="007502DE">
        <w:trPr>
          <w:trHeight w:val="14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B2F23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C03D7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Changing direction without giving the right of way to pedestrians or wheelchairs at a crosswalk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40EC3CCE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300,000 - 400,000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41E57251" w14:textId="77777777" w:rsidR="007502DE" w:rsidRPr="007502DE" w:rsidRDefault="007502DE" w:rsidP="007502DE">
            <w:r w:rsidRPr="007502DE">
              <w:t>04 - 06 million VND</w:t>
            </w:r>
          </w:p>
        </w:tc>
      </w:tr>
      <w:tr w:rsidR="007502DE" w:rsidRPr="007502DE" w14:paraId="160EA74D" w14:textId="77777777" w:rsidTr="007502DE">
        <w:trPr>
          <w:trHeight w:val="16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D1A7E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E394D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Opening the car door, leaving the car door open is unsafe and causes traffic accidents.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11491D89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400,000 - 600,000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CFECD16" w14:textId="77777777" w:rsidR="007502DE" w:rsidRPr="007502DE" w:rsidRDefault="007502DE" w:rsidP="007502DE">
            <w:r w:rsidRPr="007502DE">
              <w:t>20 - 22 million VND</w:t>
            </w:r>
          </w:p>
        </w:tc>
      </w:tr>
      <w:tr w:rsidR="007502DE" w:rsidRPr="007502DE" w14:paraId="0472F4A1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4F470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240C2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Transporting goods on a vehicle that must be tied down but not tied down or tied down but not ensuring safety according to regulations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0ACB24AD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600,000 - 800,000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2E4ABE4A" w14:textId="77777777" w:rsidR="007502DE" w:rsidRPr="007502DE" w:rsidRDefault="007502DE" w:rsidP="007502DE">
            <w:r w:rsidRPr="007502DE">
              <w:t>18 - 22 million VND</w:t>
            </w:r>
          </w:p>
        </w:tc>
      </w:tr>
      <w:tr w:rsidR="007502DE" w:rsidRPr="007502DE" w14:paraId="233DFD9B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0673C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756088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Failure to comply with traffic controller's instructions</w:t>
            </w:r>
          </w:p>
          <w:p w14:paraId="43052570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3779FFF9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04 - 06 million VND</w:t>
            </w:r>
          </w:p>
          <w:p w14:paraId="5E5DB578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4C079768" w14:textId="77777777" w:rsidR="007502DE" w:rsidRPr="007502DE" w:rsidRDefault="007502DE" w:rsidP="007502DE">
            <w:r w:rsidRPr="007502DE">
              <w:t>18 - 20 million VND</w:t>
            </w:r>
          </w:p>
          <w:p w14:paraId="5A485050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7EDFE6D5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6F668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8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7B81F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Obstructing or failing to comply with requests for inspection or control by officials on duty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6E7F238C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04 - 06 million VND</w:t>
            </w:r>
          </w:p>
          <w:p w14:paraId="1E83AB19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C478DA9" w14:textId="77777777" w:rsidR="007502DE" w:rsidRPr="007502DE" w:rsidRDefault="007502DE" w:rsidP="007502DE">
            <w:r w:rsidRPr="007502DE">
              <w:t>35 - 37 million VND</w:t>
            </w:r>
          </w:p>
          <w:p w14:paraId="20127359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1CDD9E26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780D9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6EE42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Weaving, swerving; speeding; using your feet to steer the car while it is running on the road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43EF2355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10 - 12 million VND</w:t>
            </w:r>
          </w:p>
          <w:p w14:paraId="482B470D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F518907" w14:textId="77777777" w:rsidR="007502DE" w:rsidRPr="007502DE" w:rsidRDefault="007502DE" w:rsidP="007502DE">
            <w:r w:rsidRPr="007502DE">
              <w:t>40 - 50 million VND</w:t>
            </w:r>
          </w:p>
          <w:p w14:paraId="36029A13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2432B921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8EA13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8C5AD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 xml:space="preserve">Violation of alcohol concentration exceeding 50 milligrams to 80 milligrams/100 </w:t>
            </w:r>
            <w:proofErr w:type="spellStart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milliliters</w:t>
            </w:r>
            <w:proofErr w:type="spellEnd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 xml:space="preserve"> of blood or exceeding 0.25 milligrams to 0.4 milligrams/1 </w:t>
            </w:r>
            <w:proofErr w:type="spellStart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liter</w:t>
            </w:r>
            <w:proofErr w:type="spellEnd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 xml:space="preserve"> of breath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1D94518C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16 - 18 million VND</w:t>
            </w:r>
          </w:p>
          <w:p w14:paraId="5E091736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1DCC6B08" w14:textId="77777777" w:rsidR="007502DE" w:rsidRPr="007502DE" w:rsidRDefault="007502DE" w:rsidP="007502DE">
            <w:r w:rsidRPr="007502DE">
              <w:t>18 - 20 million VND</w:t>
            </w:r>
          </w:p>
          <w:p w14:paraId="4632C169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7C51A34C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4F49D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90BC4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Driving over 35km/h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0B254B27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10 - 12 million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0C0CED7" w14:textId="77777777" w:rsidR="007502DE" w:rsidRPr="007502DE" w:rsidRDefault="007502DE" w:rsidP="007502DE">
            <w:r w:rsidRPr="007502DE">
              <w:t>12 - 14 million VND</w:t>
            </w:r>
          </w:p>
          <w:p w14:paraId="6FCBE65E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6C4066D0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2A440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41F04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 xml:space="preserve">Driving a car with a license plate that has unclear letters or numbers (not enough license plates, covered license plates, license plates that are bent, obscured, have letters, numbers, or </w:t>
            </w:r>
            <w:proofErr w:type="spellStart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colors</w:t>
            </w:r>
            <w:proofErr w:type="spellEnd"/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 xml:space="preserve"> changed, etc.) or with a license plate that does not match the vehicle registration certificate or with a license plate that is not issued by a competent authority.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7A76A847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04 - 06 million VND</w:t>
            </w:r>
          </w:p>
          <w:p w14:paraId="3522A51A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0D24B349" w14:textId="77777777" w:rsidR="007502DE" w:rsidRPr="007502DE" w:rsidRDefault="007502DE" w:rsidP="007502DE">
            <w:r w:rsidRPr="007502DE">
              <w:t>20 - 26 million VND</w:t>
            </w:r>
          </w:p>
          <w:p w14:paraId="53FEAD04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0D8F8AB6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53D22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13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7400F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Using your hands to hold and use your phone or other electronic devices while driving a vehicle on the road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246138EC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02 - 03 million VND</w:t>
            </w:r>
          </w:p>
          <w:p w14:paraId="40D1756C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E929936" w14:textId="77777777" w:rsidR="007502DE" w:rsidRPr="007502DE" w:rsidRDefault="007502DE" w:rsidP="007502DE">
            <w:r w:rsidRPr="007502DE">
              <w:t>04 - 06 million VND</w:t>
            </w:r>
          </w:p>
          <w:p w14:paraId="190C7274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739BF588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90EEE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14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E9DBE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Driving a four-wheeled motor vehicle or a four-wheeled motor vehicle on a highway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350687B2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5690934D" w14:textId="77777777" w:rsidR="007502DE" w:rsidRPr="007502DE" w:rsidRDefault="007502DE" w:rsidP="007502DE">
            <w:r w:rsidRPr="007502DE">
              <w:t>12 - 14 million VND</w:t>
            </w:r>
          </w:p>
          <w:p w14:paraId="036FD06F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40002413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75FFC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15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A30DF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Stopping or parking on the highway in an unauthorized place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1C51AB30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10 - 12 million VND</w:t>
            </w:r>
          </w:p>
          <w:p w14:paraId="0421118E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03AB2225" w14:textId="77777777" w:rsidR="007502DE" w:rsidRPr="007502DE" w:rsidRDefault="007502DE" w:rsidP="007502DE">
            <w:r w:rsidRPr="007502DE">
              <w:t>10 - 12 million VND</w:t>
            </w:r>
          </w:p>
          <w:p w14:paraId="5749A9B3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7C264948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74C3E4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16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BFD9B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Driving in the wrong direction on the highway</w:t>
            </w:r>
          </w:p>
          <w:p w14:paraId="678D2635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2CFFA5AF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16 - 18 million VND</w:t>
            </w:r>
          </w:p>
          <w:p w14:paraId="6683E9A9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6DA7F659" w14:textId="77777777" w:rsidR="007502DE" w:rsidRPr="007502DE" w:rsidRDefault="007502DE" w:rsidP="007502DE">
            <w:r w:rsidRPr="007502DE">
              <w:t>30 - 40 million VND</w:t>
            </w:r>
          </w:p>
          <w:p w14:paraId="5FA29B22" w14:textId="77777777" w:rsidR="007502DE" w:rsidRPr="007502DE" w:rsidRDefault="007502DE" w:rsidP="007502DE">
            <w:r w:rsidRPr="007502DE">
              <w:t> </w:t>
            </w:r>
          </w:p>
        </w:tc>
      </w:tr>
      <w:tr w:rsidR="007502DE" w:rsidRPr="007502DE" w14:paraId="36B125AC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63881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17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295B1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Reversing on the highway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11755F33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16 - 18 million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5ED1EE55" w14:textId="77777777" w:rsidR="007502DE" w:rsidRPr="007502DE" w:rsidRDefault="007502DE" w:rsidP="007502DE">
            <w:r w:rsidRPr="007502DE">
              <w:t>30 - 40 million VND</w:t>
            </w:r>
          </w:p>
        </w:tc>
      </w:tr>
      <w:tr w:rsidR="007502DE" w:rsidRPr="007502DE" w14:paraId="0EB0E332" w14:textId="77777777" w:rsidTr="007502DE">
        <w:trPr>
          <w:trHeight w:val="13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EF573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18</w:t>
            </w:r>
          </w:p>
        </w:tc>
        <w:tc>
          <w:tcPr>
            <w:tcW w:w="5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1B1EF0" w14:textId="77777777" w:rsidR="007502DE" w:rsidRPr="007502DE" w:rsidRDefault="007502DE" w:rsidP="007502D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</w:pPr>
            <w:r w:rsidRPr="007502DE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en-GB"/>
                <w14:ligatures w14:val="none"/>
              </w:rPr>
              <w:t>U-turn on the highway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1F7E8EB8" w14:textId="77777777" w:rsidR="007502DE" w:rsidRPr="007502DE" w:rsidRDefault="007502DE" w:rsidP="007502DE">
            <w:pPr>
              <w:rPr>
                <w:b/>
                <w:bCs/>
              </w:rPr>
            </w:pPr>
            <w:r w:rsidRPr="007502DE">
              <w:rPr>
                <w:b/>
                <w:bCs/>
              </w:rPr>
              <w:t>10 - 12 million VND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5535DECB" w14:textId="77777777" w:rsidR="007502DE" w:rsidRPr="007502DE" w:rsidRDefault="007502DE" w:rsidP="007502DE">
            <w:r w:rsidRPr="007502DE">
              <w:t>30 - 40 million VND</w:t>
            </w:r>
          </w:p>
        </w:tc>
      </w:tr>
    </w:tbl>
    <w:p w14:paraId="77B3D9E4" w14:textId="77777777" w:rsidR="007502DE" w:rsidRDefault="007502DE" w:rsidP="007502DE"/>
    <w:p w14:paraId="31339B4C" w14:textId="77777777" w:rsidR="007502DE" w:rsidRDefault="007502DE" w:rsidP="007502DE"/>
    <w:p w14:paraId="24D2A33E" w14:textId="11E0CA0C" w:rsidR="007502DE" w:rsidRDefault="007502DE" w:rsidP="007502DE">
      <w:pPr>
        <w:rPr>
          <w:b/>
          <w:bCs/>
          <w:sz w:val="28"/>
          <w:szCs w:val="28"/>
        </w:rPr>
      </w:pPr>
      <w:r w:rsidRPr="007502DE">
        <w:rPr>
          <w:sz w:val="28"/>
          <w:szCs w:val="28"/>
          <w:highlight w:val="yellow"/>
        </w:rPr>
        <w:t>* </w:t>
      </w:r>
      <w:r w:rsidRPr="007502DE">
        <w:rPr>
          <w:b/>
          <w:bCs/>
          <w:sz w:val="28"/>
          <w:szCs w:val="28"/>
          <w:highlight w:val="yellow"/>
        </w:rPr>
        <w:t>Penalties for motorbikes and scooters</w:t>
      </w:r>
    </w:p>
    <w:tbl>
      <w:tblPr>
        <w:tblW w:w="10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335"/>
        <w:gridCol w:w="3690"/>
        <w:gridCol w:w="2970"/>
      </w:tblGrid>
      <w:tr w:rsidR="00BD2BAE" w:rsidRPr="00BD2BAE" w14:paraId="2C49CAFE" w14:textId="77777777" w:rsidTr="00BD2BAE">
        <w:trPr>
          <w:trHeight w:val="480"/>
        </w:trPr>
        <w:tc>
          <w:tcPr>
            <w:tcW w:w="7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60391D49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  <w:p w14:paraId="0A255D8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682B081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  <w:p w14:paraId="6EBA2D3C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Violation error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776657F8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Fine level</w:t>
            </w:r>
          </w:p>
        </w:tc>
      </w:tr>
      <w:tr w:rsidR="00BD2BAE" w:rsidRPr="00BD2BAE" w14:paraId="472EA10B" w14:textId="77777777" w:rsidTr="00BD2BAE">
        <w:trPr>
          <w:trHeight w:val="22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D3C87" w14:textId="77777777" w:rsidR="00BD2BAE" w:rsidRPr="00BD2BAE" w:rsidRDefault="00BD2BAE" w:rsidP="00BD2BAE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7E11A" w14:textId="77777777" w:rsidR="00BD2BAE" w:rsidRPr="00BD2BAE" w:rsidRDefault="00BD2BAE" w:rsidP="00BD2BAE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  <w:hideMark/>
          </w:tcPr>
          <w:p w14:paraId="6C53AF6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Decree 100/2019/ND-CP and</w:t>
            </w:r>
          </w:p>
          <w:p w14:paraId="617C3610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Decree 123/2021/ND-CP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75330091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Decree 168/2024/ND-CP</w:t>
            </w:r>
          </w:p>
          <w:p w14:paraId="40A9A51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(Applicable from 2025)</w:t>
            </w:r>
          </w:p>
        </w:tc>
      </w:tr>
      <w:tr w:rsidR="00BD2BAE" w:rsidRPr="00BD2BAE" w14:paraId="5E8BAB45" w14:textId="77777777" w:rsidTr="00BD2BAE">
        <w:trPr>
          <w:trHeight w:val="78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50659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1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17EFE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Failure to obey traffic light signals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19704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800,000 - 1 million VND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B2588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04 - 06 million VND</w:t>
            </w:r>
          </w:p>
        </w:tc>
      </w:tr>
      <w:tr w:rsidR="00BD2BAE" w:rsidRPr="00BD2BAE" w14:paraId="54174864" w14:textId="77777777" w:rsidTr="00BD2BAE">
        <w:trPr>
          <w:trHeight w:val="2265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6603E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2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6ECC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 xml:space="preserve">Driving a vehicle on the road with a blood or breath alcohol concentration exceeding 50 milligrams to 80 milligrams/100 </w:t>
            </w:r>
            <w:proofErr w:type="spellStart"/>
            <w:r w:rsidRPr="00BD2BAE">
              <w:rPr>
                <w:sz w:val="28"/>
                <w:szCs w:val="28"/>
              </w:rPr>
              <w:t>milliliters</w:t>
            </w:r>
            <w:proofErr w:type="spellEnd"/>
            <w:r w:rsidRPr="00BD2BAE">
              <w:rPr>
                <w:sz w:val="28"/>
                <w:szCs w:val="28"/>
              </w:rPr>
              <w:t xml:space="preserve"> of blood or exceeding 0.25 milligrams to 0.4 milligrams/1 </w:t>
            </w:r>
            <w:proofErr w:type="spellStart"/>
            <w:r w:rsidRPr="00BD2BAE">
              <w:rPr>
                <w:sz w:val="28"/>
                <w:szCs w:val="28"/>
              </w:rPr>
              <w:t>liter</w:t>
            </w:r>
            <w:proofErr w:type="spellEnd"/>
            <w:r w:rsidRPr="00BD2BAE">
              <w:rPr>
                <w:sz w:val="28"/>
                <w:szCs w:val="28"/>
              </w:rPr>
              <w:t xml:space="preserve"> of breath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5BE3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04 - 05 million VND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E5756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06 - 08 million VND</w:t>
            </w:r>
          </w:p>
          <w:p w14:paraId="5BC9498B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3DE3BD01" w14:textId="77777777" w:rsidTr="00BD2BAE">
        <w:trPr>
          <w:trHeight w:val="1965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0F79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3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694A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 xml:space="preserve">Driving a vehicle on the road with a blood or breath alcohol concentration exceeding 80 milligrams/100 </w:t>
            </w:r>
            <w:proofErr w:type="spellStart"/>
            <w:r w:rsidRPr="00BD2BAE">
              <w:rPr>
                <w:sz w:val="28"/>
                <w:szCs w:val="28"/>
              </w:rPr>
              <w:t>milliliters</w:t>
            </w:r>
            <w:proofErr w:type="spellEnd"/>
            <w:r w:rsidRPr="00BD2BAE">
              <w:rPr>
                <w:sz w:val="28"/>
                <w:szCs w:val="28"/>
              </w:rPr>
              <w:t xml:space="preserve"> of blood or exceeding 0.4 milligrams/1 </w:t>
            </w:r>
            <w:proofErr w:type="spellStart"/>
            <w:r w:rsidRPr="00BD2BAE">
              <w:rPr>
                <w:sz w:val="28"/>
                <w:szCs w:val="28"/>
              </w:rPr>
              <w:t>liter</w:t>
            </w:r>
            <w:proofErr w:type="spellEnd"/>
            <w:r w:rsidRPr="00BD2BAE">
              <w:rPr>
                <w:sz w:val="28"/>
                <w:szCs w:val="28"/>
              </w:rPr>
              <w:t xml:space="preserve"> of breath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2754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06 - 08 million VND</w:t>
            </w:r>
          </w:p>
          <w:p w14:paraId="0939389A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D1454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08 - 10 million VND</w:t>
            </w:r>
          </w:p>
          <w:p w14:paraId="0941D70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08B308D3" w14:textId="77777777" w:rsidTr="00BD2BAE">
        <w:trPr>
          <w:trHeight w:val="138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69A71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4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FBB0B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Driving over the speed limit by more than 20 km/h</w:t>
            </w:r>
          </w:p>
          <w:p w14:paraId="62E74E3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171AB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04 - 05 million VND</w:t>
            </w:r>
          </w:p>
          <w:p w14:paraId="5862A275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F4D9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06 - 08 million VND</w:t>
            </w:r>
          </w:p>
          <w:p w14:paraId="0F4FEFE6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5B8F446F" w14:textId="77777777" w:rsidTr="00BD2BAE">
        <w:trPr>
          <w:trHeight w:val="138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637F4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5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D796A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Driving a motorcycle onto the highway</w:t>
            </w:r>
          </w:p>
          <w:p w14:paraId="73A78EF4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4105C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02 - 03 million VND</w:t>
            </w:r>
          </w:p>
          <w:p w14:paraId="4894A50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B4D38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04 - 06 million VND</w:t>
            </w:r>
          </w:p>
          <w:p w14:paraId="401E0AC0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16C66895" w14:textId="77777777" w:rsidTr="00BD2BAE">
        <w:trPr>
          <w:trHeight w:val="138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14A9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6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83F47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Go against the flow of a one-way street</w:t>
            </w:r>
          </w:p>
          <w:p w14:paraId="2C00634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C9400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01 - 02 million VND</w:t>
            </w:r>
          </w:p>
          <w:p w14:paraId="7FF6803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2A5D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04 - 06 million VND</w:t>
            </w:r>
          </w:p>
          <w:p w14:paraId="30C1D2F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2C0C5CFD" w14:textId="77777777" w:rsidTr="00BD2BAE">
        <w:trPr>
          <w:trHeight w:val="1380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6C75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7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B0D35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Zigzagging</w:t>
            </w:r>
          </w:p>
          <w:p w14:paraId="7D767C99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6EB53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06 - 08 million VND</w:t>
            </w:r>
          </w:p>
          <w:p w14:paraId="49CE9ECD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EFB89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08 - 10 million VND</w:t>
            </w:r>
          </w:p>
          <w:p w14:paraId="51F4812C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  <w:tr w:rsidR="00BD2BAE" w:rsidRPr="00BD2BAE" w14:paraId="6F9CFAC9" w14:textId="77777777" w:rsidTr="00BD2BAE">
        <w:trPr>
          <w:trHeight w:val="2985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80DE1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8</w:t>
            </w:r>
          </w:p>
        </w:tc>
        <w:tc>
          <w:tcPr>
            <w:tcW w:w="3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964E0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 xml:space="preserve">Causing a traffic accident, not stopping the vehicle immediately, not preserving the scene, not assisting the victim, not staying at the </w:t>
            </w:r>
            <w:proofErr w:type="gramStart"/>
            <w:r w:rsidRPr="00BD2BAE">
              <w:rPr>
                <w:sz w:val="28"/>
                <w:szCs w:val="28"/>
              </w:rPr>
              <w:t>scene</w:t>
            </w:r>
            <w:proofErr w:type="gramEnd"/>
            <w:r w:rsidRPr="00BD2BAE">
              <w:rPr>
                <w:sz w:val="28"/>
                <w:szCs w:val="28"/>
              </w:rPr>
              <w:t xml:space="preserve"> or not immediately reporting to the nearest police agency or People's Committee.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3FD43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06 - 08 million VND</w:t>
            </w:r>
          </w:p>
          <w:p w14:paraId="7ABC4E70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A1B72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b/>
                <w:bCs/>
                <w:sz w:val="28"/>
                <w:szCs w:val="28"/>
              </w:rPr>
              <w:t>08 - 10 million VND</w:t>
            </w:r>
          </w:p>
          <w:p w14:paraId="759BA885" w14:textId="77777777" w:rsidR="00BD2BAE" w:rsidRPr="00BD2BAE" w:rsidRDefault="00BD2BAE" w:rsidP="00BD2BAE">
            <w:pPr>
              <w:rPr>
                <w:sz w:val="28"/>
                <w:szCs w:val="28"/>
              </w:rPr>
            </w:pPr>
            <w:r w:rsidRPr="00BD2BAE">
              <w:rPr>
                <w:sz w:val="28"/>
                <w:szCs w:val="28"/>
              </w:rPr>
              <w:t> </w:t>
            </w:r>
          </w:p>
        </w:tc>
      </w:tr>
    </w:tbl>
    <w:p w14:paraId="7519B12C" w14:textId="77777777" w:rsidR="007502DE" w:rsidRPr="007502DE" w:rsidRDefault="007502DE" w:rsidP="007502DE">
      <w:pPr>
        <w:rPr>
          <w:sz w:val="28"/>
          <w:szCs w:val="28"/>
        </w:rPr>
      </w:pPr>
    </w:p>
    <w:sectPr w:rsidR="007502DE" w:rsidRPr="007502DE" w:rsidSect="007502DE">
      <w:pgSz w:w="11906" w:h="16838"/>
      <w:pgMar w:top="540" w:right="296" w:bottom="27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20"/>
    <w:rsid w:val="00361C78"/>
    <w:rsid w:val="007502DE"/>
    <w:rsid w:val="009D7FCE"/>
    <w:rsid w:val="00BD2BAE"/>
    <w:rsid w:val="00B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1D68"/>
  <w15:chartTrackingRefBased/>
  <w15:docId w15:val="{67402687-2474-4177-9BB3-11AB9A7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C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2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50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phap-luat/tim-van-ban.aspx?keyword=168%2f2024%2fN%c4%90-CP&amp;area=2&amp;type=0&amp;lan=1&amp;match=False&amp;sort=2&amp;vc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Dong</dc:creator>
  <cp:keywords/>
  <dc:description/>
  <cp:lastModifiedBy>My Dong</cp:lastModifiedBy>
  <cp:revision>1</cp:revision>
  <dcterms:created xsi:type="dcterms:W3CDTF">2025-01-03T06:54:00Z</dcterms:created>
  <dcterms:modified xsi:type="dcterms:W3CDTF">2025-01-03T07:25:00Z</dcterms:modified>
</cp:coreProperties>
</file>